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36"/>
        </w:rPr>
        <w:t xml:space="preserve">Порядок рассмотрения обращений</w:t>
      </w:r>
    </w:p>
    <w:p>
      <w:r>
        <w:t xml:space="preserve">Сроки и этапы рассмотрения обращений предпринимателей.</w:t>
      </w:r>
    </w:p>
    <w:p>
      <w:r>
        <w:t xml:space="preserve">Документ создан для демонстрации страниц сайта Уполномоченного по защите прав предпринимателей в городе Москве.</w:t>
      </w:r>
    </w:p>
    <w:sectPr>
      <w:pgSz w:w="11906" w:h="16838"/>
      <w:pgMar w:top="1134" w:right="1134" w:bottom="1134" w:left="1134" w:header="708" w:footer="708" w:gutter="0"/>
    </w:sectPr>
  </w:body>
</w:document>
</file>