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36"/>
        </w:rPr>
        <w:t xml:space="preserve">Методические рекомендации по защите прав при проверках</w:t>
      </w:r>
    </w:p>
    <w:p>
      <w:r>
        <w:t xml:space="preserve">Руководство для предпринимателей и их представителей.</w:t>
      </w:r>
    </w:p>
    <w:p>
      <w:r>
        <w:t xml:space="preserve">Документ создан для демонстрации страниц сайта Уполномоченного по защите прав предпринимателей в городе Москве.</w:t>
      </w:r>
    </w:p>
    <w:sectPr>
      <w:pgSz w:w="11906" w:h="16838"/>
      <w:pgMar w:top="1134" w:right="1134" w:bottom="1134" w:left="1134" w:header="708" w:footer="708" w:gutter="0"/>
    </w:sectPr>
  </w:body>
</w:document>
</file>